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CZ .1.07/1.4.00/21.2106</w:t>
            </w:r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23924" w:rsidP="006E55E2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_27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2392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Zlomky - třetiny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2392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2392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23924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zlomků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A23924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A23924" w:rsidRDefault="00A23924" w:rsidP="00A23924">
            <w:pPr>
              <w:tabs>
                <w:tab w:val="left" w:pos="1260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kliknou na zlomek a ukáže se část celku. Poté přiřazují části objektů ke zlomkům dle jejich hodnoty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A23924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2012-02-29T13:05:00Z</dcterms:modified>
</cp:coreProperties>
</file>